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85B24" w14:textId="25D878C5" w:rsidR="000F6707" w:rsidRDefault="000F6707" w:rsidP="005E0344"/>
    <w:p w14:paraId="7C9DF54E" w14:textId="1CF14AB3" w:rsidR="00C3623C" w:rsidRDefault="00C3623C" w:rsidP="005E0344">
      <w:bookmarkStart w:id="0" w:name="_GoBack"/>
      <w:bookmarkEnd w:id="0"/>
    </w:p>
    <w:p w14:paraId="066A80F9" w14:textId="77777777" w:rsidR="00D21C71" w:rsidRPr="00946103" w:rsidRDefault="00D21C71" w:rsidP="00D21C71">
      <w:pPr>
        <w:tabs>
          <w:tab w:val="left" w:pos="5835"/>
        </w:tabs>
        <w:jc w:val="center"/>
        <w:rPr>
          <w:b/>
          <w:bCs/>
          <w:sz w:val="44"/>
        </w:rPr>
      </w:pPr>
      <w:r w:rsidRPr="00946103">
        <w:rPr>
          <w:b/>
          <w:bCs/>
          <w:sz w:val="44"/>
        </w:rPr>
        <w:t>Satisfactory Academic Progress (SAP)</w:t>
      </w:r>
    </w:p>
    <w:p w14:paraId="12083282" w14:textId="77777777" w:rsidR="00D21C71" w:rsidRDefault="00D21C71" w:rsidP="00D21C71">
      <w:pPr>
        <w:tabs>
          <w:tab w:val="left" w:pos="5835"/>
        </w:tabs>
        <w:rPr>
          <w:b/>
          <w:bCs/>
        </w:rPr>
      </w:pPr>
    </w:p>
    <w:p w14:paraId="3EE279F8" w14:textId="10E3E656" w:rsidR="00D21C71" w:rsidRPr="00D21C71" w:rsidRDefault="00D21C71" w:rsidP="00D21C71">
      <w:pPr>
        <w:tabs>
          <w:tab w:val="left" w:pos="5835"/>
        </w:tabs>
        <w:rPr>
          <w:b/>
          <w:bCs/>
        </w:rPr>
      </w:pPr>
      <w:r w:rsidRPr="00D21C71">
        <w:rPr>
          <w:b/>
          <w:bCs/>
        </w:rPr>
        <w:t>Introduction</w:t>
      </w:r>
    </w:p>
    <w:p w14:paraId="13A73DC3" w14:textId="77777777" w:rsidR="00121BD4" w:rsidRDefault="00121BD4" w:rsidP="00121BD4">
      <w:pPr>
        <w:tabs>
          <w:tab w:val="left" w:pos="5835"/>
        </w:tabs>
      </w:pPr>
      <w:r>
        <w:t>Southeast College does not currently participate in federal or state financial aid programs. However, the institution maintains a Satisfactory Academic Progress (SAP) policy that is structured in alignment with federal regulatory standards and accreditor expectations to ensure consistent monitoring of student academic progress.</w:t>
      </w:r>
    </w:p>
    <w:p w14:paraId="11F9261A" w14:textId="77777777" w:rsidR="00121BD4" w:rsidRDefault="00121BD4" w:rsidP="00121BD4">
      <w:pPr>
        <w:tabs>
          <w:tab w:val="left" w:pos="5835"/>
        </w:tabs>
      </w:pPr>
    </w:p>
    <w:p w14:paraId="1E377922" w14:textId="77777777" w:rsidR="00121BD4" w:rsidRDefault="00121BD4" w:rsidP="00121BD4">
      <w:pPr>
        <w:tabs>
          <w:tab w:val="left" w:pos="5835"/>
        </w:tabs>
      </w:pPr>
      <w:r>
        <w:t>Under federal regulations, students receiving Title IV financial aid must make Satisfactory Academic Progress (SAP) toward completion of their program to remain eligible for aid. SAP standards generally include maintaining a minimum cumulative grade point average (GPA), successfully completing at least 67% of attempted coursework (quantitative progress), and completing the program within 150% of the published program length (maximum timeframe).</w:t>
      </w:r>
    </w:p>
    <w:p w14:paraId="512EBDFB" w14:textId="77777777" w:rsidR="00121BD4" w:rsidRDefault="00121BD4" w:rsidP="00121BD4">
      <w:pPr>
        <w:tabs>
          <w:tab w:val="left" w:pos="5835"/>
        </w:tabs>
      </w:pPr>
    </w:p>
    <w:p w14:paraId="093B1B9B" w14:textId="77777777" w:rsidR="00121BD4" w:rsidRDefault="00121BD4" w:rsidP="00121BD4">
      <w:pPr>
        <w:tabs>
          <w:tab w:val="left" w:pos="5835"/>
        </w:tabs>
      </w:pPr>
      <w:r>
        <w:t>Although Southeast College does not currently offer financial aid, the College has designed its SAP Policy to promote accountability, academic achievement, and timely program completion. The institution evaluates each student’s academic progress at the end of each evaluation period based on the standards outlined below. Academic transcripts for transfer students are reviewed using the same SAP standards to ensure consistency in evaluating cumulative progress.</w:t>
      </w:r>
    </w:p>
    <w:p w14:paraId="3B9EBF7B" w14:textId="77777777" w:rsidR="00121BD4" w:rsidRDefault="00121BD4" w:rsidP="00121BD4">
      <w:pPr>
        <w:tabs>
          <w:tab w:val="left" w:pos="5835"/>
        </w:tabs>
      </w:pPr>
    </w:p>
    <w:p w14:paraId="116DEAB3" w14:textId="5424B809" w:rsidR="00D21C71" w:rsidRDefault="00121BD4" w:rsidP="00121BD4">
      <w:pPr>
        <w:tabs>
          <w:tab w:val="left" w:pos="5835"/>
        </w:tabs>
      </w:pPr>
      <w:r>
        <w:t>All students are required to maintain Satisfactory Academic Progress to remain in good academic standing. These SAP standards are established for institutional monitoring purposes and do not replace or override the College’s separate academic policies and graduation requirements.</w:t>
      </w:r>
    </w:p>
    <w:p w14:paraId="4D607B36" w14:textId="77777777" w:rsidR="00D21C71" w:rsidRPr="00D21C71" w:rsidRDefault="00D21C71" w:rsidP="00D21C71">
      <w:pPr>
        <w:tabs>
          <w:tab w:val="left" w:pos="5835"/>
        </w:tabs>
      </w:pPr>
    </w:p>
    <w:p w14:paraId="40D19311" w14:textId="77777777" w:rsidR="00D21C71" w:rsidRPr="00D21C71" w:rsidRDefault="00D21C71" w:rsidP="00D21C71">
      <w:pPr>
        <w:tabs>
          <w:tab w:val="left" w:pos="5835"/>
        </w:tabs>
        <w:rPr>
          <w:b/>
          <w:bCs/>
        </w:rPr>
      </w:pPr>
      <w:r w:rsidRPr="00D21C71">
        <w:rPr>
          <w:b/>
          <w:bCs/>
        </w:rPr>
        <w:t>SAP Requirements</w:t>
      </w:r>
    </w:p>
    <w:p w14:paraId="4303DC4D" w14:textId="37321773" w:rsidR="00D21C71" w:rsidRDefault="00D21C71" w:rsidP="00D21C71">
      <w:pPr>
        <w:tabs>
          <w:tab w:val="left" w:pos="5835"/>
        </w:tabs>
      </w:pPr>
      <w:r w:rsidRPr="00D21C71">
        <w:t xml:space="preserve">Academic progress is based on three measures: cumulative grade-point average or percentage (Qualitative standard), completion rate based on hours/units earned compared to hours/units attempted (Quantitative standard), and a maximum time frame for program completion. The following describes </w:t>
      </w:r>
      <w:r>
        <w:t xml:space="preserve">SC’s </w:t>
      </w:r>
      <w:r w:rsidRPr="00D21C71">
        <w:t>standards for each of these measures.</w:t>
      </w:r>
    </w:p>
    <w:p w14:paraId="17BA6E26" w14:textId="77777777" w:rsidR="00121BD4" w:rsidRPr="00D21C71" w:rsidRDefault="00121BD4" w:rsidP="00D21C71">
      <w:pPr>
        <w:tabs>
          <w:tab w:val="left" w:pos="5835"/>
        </w:tabs>
      </w:pPr>
    </w:p>
    <w:p w14:paraId="481AFAAD" w14:textId="77777777" w:rsidR="00D21C71" w:rsidRPr="00D21C71" w:rsidRDefault="00D21C71" w:rsidP="00D21C71">
      <w:pPr>
        <w:tabs>
          <w:tab w:val="left" w:pos="5835"/>
        </w:tabs>
        <w:rPr>
          <w:b/>
          <w:bCs/>
        </w:rPr>
      </w:pPr>
      <w:r w:rsidRPr="00D21C71">
        <w:rPr>
          <w:b/>
          <w:bCs/>
        </w:rPr>
        <w:t>Students in a Clock Hour (Certificate Program)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96"/>
        <w:gridCol w:w="4608"/>
        <w:gridCol w:w="3168"/>
      </w:tblGrid>
      <w:tr w:rsidR="00121BD4" w:rsidRPr="00D21C71" w14:paraId="6CC36397" w14:textId="77777777" w:rsidTr="00121BD4">
        <w:trPr>
          <w:tblHeader/>
        </w:trPr>
        <w:tc>
          <w:tcPr>
            <w:tcW w:w="1296" w:type="dxa"/>
            <w:shd w:val="clear" w:color="auto" w:fill="1A365D"/>
            <w:tcMar>
              <w:top w:w="120" w:type="dxa"/>
              <w:left w:w="120" w:type="dxa"/>
              <w:bottom w:w="120" w:type="dxa"/>
              <w:right w:w="120" w:type="dxa"/>
            </w:tcMar>
            <w:vAlign w:val="center"/>
            <w:hideMark/>
          </w:tcPr>
          <w:p w14:paraId="4E0F976A" w14:textId="77777777" w:rsidR="00D21C71" w:rsidRPr="00D21C71" w:rsidRDefault="00D21C71" w:rsidP="00D21C71">
            <w:pPr>
              <w:tabs>
                <w:tab w:val="left" w:pos="5835"/>
              </w:tabs>
              <w:rPr>
                <w:b/>
                <w:bCs/>
              </w:rPr>
            </w:pPr>
            <w:r w:rsidRPr="00D21C71">
              <w:rPr>
                <w:b/>
                <w:bCs/>
              </w:rPr>
              <w:t>Minimum GPA</w:t>
            </w:r>
          </w:p>
        </w:tc>
        <w:tc>
          <w:tcPr>
            <w:tcW w:w="4608" w:type="dxa"/>
            <w:shd w:val="clear" w:color="auto" w:fill="1A365D"/>
            <w:tcMar>
              <w:top w:w="120" w:type="dxa"/>
              <w:left w:w="120" w:type="dxa"/>
              <w:bottom w:w="120" w:type="dxa"/>
              <w:right w:w="120" w:type="dxa"/>
            </w:tcMar>
            <w:vAlign w:val="center"/>
            <w:hideMark/>
          </w:tcPr>
          <w:p w14:paraId="47308BCF" w14:textId="77777777" w:rsidR="00D21C71" w:rsidRPr="00D21C71" w:rsidRDefault="00D21C71" w:rsidP="00D21C71">
            <w:pPr>
              <w:tabs>
                <w:tab w:val="left" w:pos="5835"/>
              </w:tabs>
              <w:rPr>
                <w:b/>
                <w:bCs/>
              </w:rPr>
            </w:pPr>
            <w:r w:rsidRPr="00D21C71">
              <w:rPr>
                <w:b/>
                <w:bCs/>
              </w:rPr>
              <w:t>Per Term Completion Rate (Quantitative) – Cumulative Credit Hours Completed/Cumulative Credit Hours Attempted</w:t>
            </w:r>
          </w:p>
        </w:tc>
        <w:tc>
          <w:tcPr>
            <w:tcW w:w="3168" w:type="dxa"/>
            <w:shd w:val="clear" w:color="auto" w:fill="1A365D"/>
            <w:tcMar>
              <w:top w:w="120" w:type="dxa"/>
              <w:left w:w="120" w:type="dxa"/>
              <w:bottom w:w="120" w:type="dxa"/>
              <w:right w:w="120" w:type="dxa"/>
            </w:tcMar>
            <w:vAlign w:val="center"/>
            <w:hideMark/>
          </w:tcPr>
          <w:p w14:paraId="2C7056EC" w14:textId="77777777" w:rsidR="00D21C71" w:rsidRPr="00D21C71" w:rsidRDefault="00D21C71" w:rsidP="00D21C71">
            <w:pPr>
              <w:tabs>
                <w:tab w:val="left" w:pos="5835"/>
              </w:tabs>
              <w:rPr>
                <w:b/>
                <w:bCs/>
              </w:rPr>
            </w:pPr>
            <w:r w:rsidRPr="00D21C71">
              <w:rPr>
                <w:b/>
                <w:bCs/>
              </w:rPr>
              <w:t>Overall Max Time Frame</w:t>
            </w:r>
          </w:p>
        </w:tc>
      </w:tr>
      <w:tr w:rsidR="00121BD4" w:rsidRPr="00D21C71" w14:paraId="79D85BEE" w14:textId="77777777" w:rsidTr="00121BD4">
        <w:tc>
          <w:tcPr>
            <w:tcW w:w="1296" w:type="dxa"/>
            <w:shd w:val="clear" w:color="auto" w:fill="FFFFFF"/>
            <w:tcMar>
              <w:top w:w="120" w:type="dxa"/>
              <w:left w:w="120" w:type="dxa"/>
              <w:bottom w:w="120" w:type="dxa"/>
              <w:right w:w="120" w:type="dxa"/>
            </w:tcMar>
            <w:hideMark/>
          </w:tcPr>
          <w:p w14:paraId="1ED0791D" w14:textId="77777777" w:rsidR="00D21C71" w:rsidRPr="00D21C71" w:rsidRDefault="00D21C71" w:rsidP="00D21C71">
            <w:pPr>
              <w:tabs>
                <w:tab w:val="left" w:pos="5835"/>
              </w:tabs>
            </w:pPr>
            <w:r w:rsidRPr="00D21C71">
              <w:t>2.0</w:t>
            </w:r>
          </w:p>
        </w:tc>
        <w:tc>
          <w:tcPr>
            <w:tcW w:w="4608" w:type="dxa"/>
            <w:shd w:val="clear" w:color="auto" w:fill="FFFFFF"/>
            <w:tcMar>
              <w:top w:w="120" w:type="dxa"/>
              <w:left w:w="120" w:type="dxa"/>
              <w:bottom w:w="120" w:type="dxa"/>
              <w:right w:w="120" w:type="dxa"/>
            </w:tcMar>
            <w:hideMark/>
          </w:tcPr>
          <w:p w14:paraId="3EC31EAF" w14:textId="77777777" w:rsidR="00D21C71" w:rsidRPr="00D21C71" w:rsidRDefault="00D21C71" w:rsidP="00D21C71">
            <w:pPr>
              <w:tabs>
                <w:tab w:val="left" w:pos="5835"/>
              </w:tabs>
            </w:pPr>
            <w:r w:rsidRPr="00D21C71">
              <w:t>67%</w:t>
            </w:r>
          </w:p>
        </w:tc>
        <w:tc>
          <w:tcPr>
            <w:tcW w:w="3168" w:type="dxa"/>
            <w:shd w:val="clear" w:color="auto" w:fill="FFFFFF"/>
            <w:tcMar>
              <w:top w:w="120" w:type="dxa"/>
              <w:left w:w="120" w:type="dxa"/>
              <w:bottom w:w="120" w:type="dxa"/>
              <w:right w:w="120" w:type="dxa"/>
            </w:tcMar>
            <w:hideMark/>
          </w:tcPr>
          <w:p w14:paraId="5E7CEE8C" w14:textId="06A96ECC" w:rsidR="00D21C71" w:rsidRPr="00D21C71" w:rsidRDefault="00D21C71" w:rsidP="00D21C71">
            <w:pPr>
              <w:tabs>
                <w:tab w:val="left" w:pos="5835"/>
              </w:tabs>
            </w:pPr>
            <w:r w:rsidRPr="00D21C71">
              <w:t xml:space="preserve">150% of Scheduled Program </w:t>
            </w:r>
            <w:r w:rsidR="00121BD4">
              <w:t>L</w:t>
            </w:r>
            <w:r w:rsidRPr="00D21C71">
              <w:t>ength</w:t>
            </w:r>
          </w:p>
        </w:tc>
      </w:tr>
    </w:tbl>
    <w:p w14:paraId="3CA197B3" w14:textId="77777777" w:rsidR="00946103" w:rsidRDefault="00946103" w:rsidP="00D21C71">
      <w:pPr>
        <w:tabs>
          <w:tab w:val="left" w:pos="5835"/>
        </w:tabs>
      </w:pPr>
    </w:p>
    <w:p w14:paraId="6974E41B" w14:textId="77777777" w:rsidR="00946103" w:rsidRDefault="00946103" w:rsidP="00D21C71">
      <w:pPr>
        <w:tabs>
          <w:tab w:val="left" w:pos="5835"/>
        </w:tabs>
      </w:pPr>
    </w:p>
    <w:p w14:paraId="2C780C65" w14:textId="77777777" w:rsidR="00946103" w:rsidRDefault="00946103" w:rsidP="00D21C71">
      <w:pPr>
        <w:tabs>
          <w:tab w:val="left" w:pos="5835"/>
        </w:tabs>
      </w:pPr>
    </w:p>
    <w:p w14:paraId="7C4BA8F3" w14:textId="445FDB97" w:rsidR="00D21C71" w:rsidRDefault="00D21C71" w:rsidP="00D21C71">
      <w:pPr>
        <w:tabs>
          <w:tab w:val="left" w:pos="5835"/>
        </w:tabs>
      </w:pPr>
      <w:r w:rsidRPr="00D21C71">
        <w:t>Grades of Withdrawal (W), Incomplete (I), and Failing (F) will count as attempted hours, but will NOT count as earned hours.</w:t>
      </w:r>
    </w:p>
    <w:p w14:paraId="6CEE4C6B" w14:textId="77777777" w:rsidR="00121BD4" w:rsidRPr="00D21C71" w:rsidRDefault="00121BD4" w:rsidP="00D21C71">
      <w:pPr>
        <w:tabs>
          <w:tab w:val="left" w:pos="5835"/>
        </w:tabs>
      </w:pPr>
    </w:p>
    <w:p w14:paraId="7D9D7D44" w14:textId="77777777" w:rsidR="00D21C71" w:rsidRPr="00D21C71" w:rsidRDefault="00D21C71" w:rsidP="00D21C71">
      <w:pPr>
        <w:tabs>
          <w:tab w:val="left" w:pos="5835"/>
        </w:tabs>
        <w:rPr>
          <w:b/>
          <w:bCs/>
        </w:rPr>
      </w:pPr>
      <w:r w:rsidRPr="00D21C71">
        <w:rPr>
          <w:b/>
          <w:bCs/>
        </w:rPr>
        <w:t>Minimum Cumulative Grade Point Average (Qualitative)</w:t>
      </w:r>
    </w:p>
    <w:p w14:paraId="1DDB97CF" w14:textId="1CF8E8D9" w:rsidR="00D21C71" w:rsidRPr="00D21C71" w:rsidRDefault="00D21C71" w:rsidP="00D21C71">
      <w:pPr>
        <w:tabs>
          <w:tab w:val="left" w:pos="5835"/>
        </w:tabs>
      </w:pPr>
      <w:r w:rsidRPr="00D21C71">
        <w:t>The minimum cumulative GPA for a student in a clock hour program at the end of each payment period to maintain eligibility is 2.0.</w:t>
      </w:r>
      <w:r w:rsidRPr="00D21C71">
        <w:br/>
      </w:r>
      <w:r w:rsidRPr="00D21C71">
        <w:br/>
      </w:r>
      <w:r w:rsidRPr="00D21C71">
        <w:rPr>
          <w:b/>
          <w:bCs/>
        </w:rPr>
        <w:t>Per Term Completion Rate/Pace of Progression (Quantitative)</w:t>
      </w:r>
      <w:r w:rsidRPr="00D21C71">
        <w:br/>
        <w:t>A student in a clock hour program must complete all scheduled clock hours in the payment period to maintain eligibility.</w:t>
      </w:r>
    </w:p>
    <w:p w14:paraId="14C4FCED" w14:textId="77777777" w:rsidR="00121BD4" w:rsidRDefault="00121BD4" w:rsidP="00D21C71">
      <w:pPr>
        <w:tabs>
          <w:tab w:val="left" w:pos="5835"/>
        </w:tabs>
        <w:rPr>
          <w:b/>
          <w:bCs/>
        </w:rPr>
      </w:pPr>
    </w:p>
    <w:p w14:paraId="0C5BAEA7" w14:textId="2E4B2B33" w:rsidR="00D21C71" w:rsidRPr="00D21C71" w:rsidRDefault="00D21C71" w:rsidP="00D21C71">
      <w:pPr>
        <w:tabs>
          <w:tab w:val="left" w:pos="5835"/>
        </w:tabs>
        <w:rPr>
          <w:b/>
          <w:bCs/>
        </w:rPr>
      </w:pPr>
      <w:r w:rsidRPr="00D21C71">
        <w:rPr>
          <w:b/>
          <w:bCs/>
        </w:rPr>
        <w:t>Maximum Time Frame</w:t>
      </w:r>
    </w:p>
    <w:p w14:paraId="0C5471E6" w14:textId="77777777" w:rsidR="006B0AB7" w:rsidRDefault="006B0AB7" w:rsidP="006B0AB7">
      <w:pPr>
        <w:tabs>
          <w:tab w:val="left" w:pos="5835"/>
        </w:tabs>
      </w:pPr>
      <w:r>
        <w:t>The maximum time frame may not exceed 150% of the published program length. All clock hours or credit hours attempted are counted toward this maximum time frame, regardless of whether the student received financial assistance at any point during enrollment.</w:t>
      </w:r>
    </w:p>
    <w:p w14:paraId="1EA24ED0" w14:textId="77777777" w:rsidR="006B0AB7" w:rsidRDefault="006B0AB7" w:rsidP="006B0AB7">
      <w:pPr>
        <w:tabs>
          <w:tab w:val="left" w:pos="5835"/>
        </w:tabs>
      </w:pPr>
    </w:p>
    <w:p w14:paraId="4D35953B" w14:textId="102631EB" w:rsidR="00121BD4" w:rsidRDefault="006B0AB7" w:rsidP="006B0AB7">
      <w:pPr>
        <w:tabs>
          <w:tab w:val="left" w:pos="5835"/>
        </w:tabs>
      </w:pPr>
      <w:r>
        <w:t>Hours attempted include repeated courses, failed courses, withdrawals, and accepted transfer hours. Students are required to complete all program requirements within 150% of the standard published length of the certificate program (measured in clock hours) or degree program (measured in credit hours). Failure to complete the program within this timeframe may result in academic dismissal in accordance with institutional policy.</w:t>
      </w:r>
    </w:p>
    <w:p w14:paraId="2455D166" w14:textId="77777777" w:rsidR="006B0AB7" w:rsidRPr="00D21C71" w:rsidRDefault="006B0AB7" w:rsidP="006B0AB7">
      <w:pPr>
        <w:tabs>
          <w:tab w:val="left" w:pos="5835"/>
        </w:tabs>
      </w:pPr>
    </w:p>
    <w:p w14:paraId="47DA2158" w14:textId="77777777" w:rsidR="00D21C71" w:rsidRPr="00D21C71" w:rsidRDefault="00D21C71" w:rsidP="00D21C71">
      <w:pPr>
        <w:tabs>
          <w:tab w:val="left" w:pos="5835"/>
        </w:tabs>
        <w:rPr>
          <w:b/>
          <w:bCs/>
        </w:rPr>
      </w:pPr>
      <w:r w:rsidRPr="00D21C71">
        <w:rPr>
          <w:b/>
          <w:bCs/>
        </w:rPr>
        <w:t>Students in certificate programs (as measured in clock hours)</w:t>
      </w:r>
    </w:p>
    <w:p w14:paraId="163E0EFA" w14:textId="0B4F0568" w:rsidR="00D21C71" w:rsidRDefault="00D21C71" w:rsidP="00D21C71">
      <w:pPr>
        <w:tabs>
          <w:tab w:val="left" w:pos="5835"/>
        </w:tabs>
      </w:pPr>
      <w:r w:rsidRPr="00D21C71">
        <w:t>Example: If your program requires 900 clock hours, you must complete your program by the time you attempt 1,350 clock hours (900 x 150% = 1,350).</w:t>
      </w:r>
    </w:p>
    <w:p w14:paraId="718F27F7" w14:textId="77777777" w:rsidR="006B0AB7" w:rsidRPr="00D21C71" w:rsidRDefault="006B0AB7" w:rsidP="00D21C71">
      <w:pPr>
        <w:tabs>
          <w:tab w:val="left" w:pos="5835"/>
        </w:tabs>
      </w:pPr>
    </w:p>
    <w:p w14:paraId="72D03BBE" w14:textId="77777777" w:rsidR="00D21C71" w:rsidRPr="00D21C71" w:rsidRDefault="00D21C71" w:rsidP="00D21C71">
      <w:pPr>
        <w:tabs>
          <w:tab w:val="left" w:pos="5835"/>
        </w:tabs>
        <w:rPr>
          <w:b/>
          <w:bCs/>
        </w:rPr>
      </w:pPr>
      <w:r w:rsidRPr="00D21C71">
        <w:rPr>
          <w:b/>
          <w:bCs/>
        </w:rPr>
        <w:t>Evaluation and Notification of Eligibility</w:t>
      </w:r>
    </w:p>
    <w:p w14:paraId="3990D9EA" w14:textId="5389BB52" w:rsidR="00D21C71" w:rsidRDefault="00D21C71" w:rsidP="00D21C71">
      <w:pPr>
        <w:tabs>
          <w:tab w:val="left" w:pos="5835"/>
        </w:tabs>
      </w:pPr>
      <w:r w:rsidRPr="00D21C71">
        <w:t xml:space="preserve">Minimum progress standards are evaluated at the end of </w:t>
      </w:r>
      <w:r w:rsidR="000A2022" w:rsidRPr="00D21C71">
        <w:t>each</w:t>
      </w:r>
      <w:r w:rsidRPr="00D21C71">
        <w:t xml:space="preserve"> payment (term) period. At the end of each term of enrollment, students must earn the minimum cumulative GPA, minimum number of credit hours, and be within the maximum time frame.</w:t>
      </w:r>
    </w:p>
    <w:p w14:paraId="5B2696C2" w14:textId="77777777" w:rsidR="006B0AB7" w:rsidRPr="00D21C71" w:rsidRDefault="006B0AB7" w:rsidP="00D21C71">
      <w:pPr>
        <w:tabs>
          <w:tab w:val="left" w:pos="5835"/>
        </w:tabs>
      </w:pPr>
    </w:p>
    <w:p w14:paraId="0504C373" w14:textId="77777777" w:rsidR="00D21C71" w:rsidRPr="00D21C71" w:rsidRDefault="00D21C71" w:rsidP="00D21C71">
      <w:pPr>
        <w:tabs>
          <w:tab w:val="left" w:pos="5835"/>
        </w:tabs>
        <w:rPr>
          <w:b/>
          <w:bCs/>
        </w:rPr>
      </w:pPr>
      <w:r w:rsidRPr="00D21C71">
        <w:rPr>
          <w:b/>
          <w:bCs/>
        </w:rPr>
        <w:t>Hours Attempted</w:t>
      </w:r>
    </w:p>
    <w:p w14:paraId="22CAB34C" w14:textId="0A51BEED" w:rsidR="00D21C71" w:rsidRDefault="006B0AB7" w:rsidP="006B0AB7">
      <w:pPr>
        <w:tabs>
          <w:tab w:val="left" w:pos="5835"/>
        </w:tabs>
      </w:pPr>
      <w:r>
        <w:t>All clock hours or credit hours attempted during a student’s enrollment are included in the calculation of the maximum time frame, regardless of whether the student received financial assistance.</w:t>
      </w:r>
      <w:r>
        <w:t xml:space="preserve"> </w:t>
      </w:r>
      <w:r>
        <w:t>Attempted hours include all coursework in which a student is enrolled, including withdrawals, incomplete grades, failing grades, repeated courses, and transfer credits accepted by the College.</w:t>
      </w:r>
    </w:p>
    <w:p w14:paraId="7D163660" w14:textId="77777777" w:rsidR="006B0AB7" w:rsidRPr="00D21C71" w:rsidRDefault="006B0AB7" w:rsidP="006B0AB7">
      <w:pPr>
        <w:tabs>
          <w:tab w:val="left" w:pos="5835"/>
        </w:tabs>
      </w:pPr>
    </w:p>
    <w:p w14:paraId="554D3E01" w14:textId="77777777" w:rsidR="00D21C71" w:rsidRPr="00D21C71" w:rsidRDefault="00D21C71" w:rsidP="00D21C71">
      <w:pPr>
        <w:tabs>
          <w:tab w:val="left" w:pos="5835"/>
        </w:tabs>
        <w:rPr>
          <w:b/>
          <w:bCs/>
        </w:rPr>
      </w:pPr>
      <w:r w:rsidRPr="00D21C71">
        <w:rPr>
          <w:b/>
          <w:bCs/>
        </w:rPr>
        <w:t>Repeated Coursework</w:t>
      </w:r>
    </w:p>
    <w:p w14:paraId="197218F0" w14:textId="77777777" w:rsidR="006B0AB7" w:rsidRDefault="006B0AB7" w:rsidP="00D21C71">
      <w:pPr>
        <w:tabs>
          <w:tab w:val="left" w:pos="5835"/>
        </w:tabs>
      </w:pPr>
      <w:r w:rsidRPr="006B0AB7">
        <w:t>Students may repeat a previously passed course; however, the repeated course will count toward enrollment for eligibility purposes only once.</w:t>
      </w:r>
    </w:p>
    <w:p w14:paraId="5337871C" w14:textId="77777777" w:rsidR="006B0AB7" w:rsidRDefault="006B0AB7" w:rsidP="00D21C71">
      <w:pPr>
        <w:tabs>
          <w:tab w:val="left" w:pos="5835"/>
        </w:tabs>
        <w:rPr>
          <w:b/>
          <w:bCs/>
        </w:rPr>
      </w:pPr>
    </w:p>
    <w:p w14:paraId="0880E64A" w14:textId="77777777" w:rsidR="006B0AB7" w:rsidRDefault="006B0AB7" w:rsidP="00D21C71">
      <w:pPr>
        <w:tabs>
          <w:tab w:val="left" w:pos="5835"/>
        </w:tabs>
        <w:rPr>
          <w:b/>
          <w:bCs/>
        </w:rPr>
      </w:pPr>
    </w:p>
    <w:p w14:paraId="75CDF359" w14:textId="77777777" w:rsidR="006B0AB7" w:rsidRDefault="006B0AB7" w:rsidP="00D21C71">
      <w:pPr>
        <w:tabs>
          <w:tab w:val="left" w:pos="5835"/>
        </w:tabs>
        <w:rPr>
          <w:b/>
          <w:bCs/>
        </w:rPr>
      </w:pPr>
    </w:p>
    <w:p w14:paraId="202D9F92" w14:textId="0C4608D8" w:rsidR="00D21C71" w:rsidRPr="00D21C71" w:rsidRDefault="00D21C71" w:rsidP="00D21C71">
      <w:pPr>
        <w:tabs>
          <w:tab w:val="left" w:pos="5835"/>
        </w:tabs>
        <w:rPr>
          <w:b/>
          <w:bCs/>
        </w:rPr>
      </w:pPr>
      <w:r w:rsidRPr="00D21C71">
        <w:rPr>
          <w:b/>
          <w:bCs/>
        </w:rPr>
        <w:t>Academic Progress Status</w:t>
      </w:r>
    </w:p>
    <w:p w14:paraId="114F7869" w14:textId="77777777" w:rsidR="00D21C71" w:rsidRPr="00D21C71" w:rsidRDefault="00D21C71" w:rsidP="00D21C71">
      <w:pPr>
        <w:tabs>
          <w:tab w:val="left" w:pos="5835"/>
        </w:tabs>
        <w:rPr>
          <w:b/>
          <w:bCs/>
        </w:rPr>
      </w:pPr>
      <w:r w:rsidRPr="00D21C71">
        <w:rPr>
          <w:b/>
          <w:bCs/>
        </w:rPr>
        <w:t>SAP Status</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08"/>
        <w:gridCol w:w="2489"/>
        <w:gridCol w:w="2304"/>
      </w:tblGrid>
      <w:tr w:rsidR="006B0AB7" w:rsidRPr="00D21C71" w14:paraId="1EA23088" w14:textId="77777777" w:rsidTr="00946103">
        <w:trPr>
          <w:tblHeader/>
        </w:trPr>
        <w:tc>
          <w:tcPr>
            <w:tcW w:w="4608" w:type="dxa"/>
            <w:shd w:val="clear" w:color="auto" w:fill="1A365D"/>
            <w:tcMar>
              <w:top w:w="120" w:type="dxa"/>
              <w:left w:w="120" w:type="dxa"/>
              <w:bottom w:w="120" w:type="dxa"/>
              <w:right w:w="120" w:type="dxa"/>
            </w:tcMar>
            <w:vAlign w:val="center"/>
            <w:hideMark/>
          </w:tcPr>
          <w:p w14:paraId="30CB1BDA" w14:textId="77777777" w:rsidR="00D21C71" w:rsidRPr="00D21C71" w:rsidRDefault="00D21C71" w:rsidP="00D21C71">
            <w:pPr>
              <w:tabs>
                <w:tab w:val="left" w:pos="5835"/>
              </w:tabs>
              <w:rPr>
                <w:b/>
                <w:bCs/>
              </w:rPr>
            </w:pPr>
            <w:r w:rsidRPr="00D21C71">
              <w:rPr>
                <w:b/>
                <w:bCs/>
              </w:rPr>
              <w:t>Academic Progress</w:t>
            </w:r>
          </w:p>
        </w:tc>
        <w:tc>
          <w:tcPr>
            <w:tcW w:w="0" w:type="auto"/>
            <w:shd w:val="clear" w:color="auto" w:fill="1A365D"/>
            <w:tcMar>
              <w:top w:w="120" w:type="dxa"/>
              <w:left w:w="120" w:type="dxa"/>
              <w:bottom w:w="120" w:type="dxa"/>
              <w:right w:w="120" w:type="dxa"/>
            </w:tcMar>
            <w:vAlign w:val="center"/>
            <w:hideMark/>
          </w:tcPr>
          <w:p w14:paraId="7AF84D83" w14:textId="77777777" w:rsidR="00D21C71" w:rsidRPr="00D21C71" w:rsidRDefault="00D21C71" w:rsidP="00D21C71">
            <w:pPr>
              <w:tabs>
                <w:tab w:val="left" w:pos="5835"/>
              </w:tabs>
              <w:rPr>
                <w:b/>
                <w:bCs/>
              </w:rPr>
            </w:pPr>
            <w:r w:rsidRPr="00D21C71">
              <w:rPr>
                <w:b/>
                <w:bCs/>
              </w:rPr>
              <w:t>Status</w:t>
            </w:r>
          </w:p>
        </w:tc>
        <w:tc>
          <w:tcPr>
            <w:tcW w:w="2304" w:type="dxa"/>
            <w:shd w:val="clear" w:color="auto" w:fill="1A365D"/>
            <w:tcMar>
              <w:top w:w="120" w:type="dxa"/>
              <w:left w:w="120" w:type="dxa"/>
              <w:bottom w:w="120" w:type="dxa"/>
              <w:right w:w="120" w:type="dxa"/>
            </w:tcMar>
            <w:vAlign w:val="center"/>
            <w:hideMark/>
          </w:tcPr>
          <w:p w14:paraId="22C29A32" w14:textId="77777777" w:rsidR="00D21C71" w:rsidRPr="00D21C71" w:rsidRDefault="00D21C71" w:rsidP="00D21C71">
            <w:pPr>
              <w:tabs>
                <w:tab w:val="left" w:pos="5835"/>
              </w:tabs>
              <w:rPr>
                <w:b/>
                <w:bCs/>
              </w:rPr>
            </w:pPr>
            <w:r w:rsidRPr="00D21C71">
              <w:rPr>
                <w:b/>
                <w:bCs/>
              </w:rPr>
              <w:t>Result</w:t>
            </w:r>
          </w:p>
        </w:tc>
      </w:tr>
      <w:tr w:rsidR="006B0AB7" w:rsidRPr="00D21C71" w14:paraId="799B170D" w14:textId="77777777" w:rsidTr="00946103">
        <w:tc>
          <w:tcPr>
            <w:tcW w:w="4608" w:type="dxa"/>
            <w:shd w:val="clear" w:color="auto" w:fill="FFFFFF"/>
            <w:tcMar>
              <w:top w:w="120" w:type="dxa"/>
              <w:left w:w="120" w:type="dxa"/>
              <w:bottom w:w="120" w:type="dxa"/>
              <w:right w:w="120" w:type="dxa"/>
            </w:tcMar>
            <w:hideMark/>
          </w:tcPr>
          <w:p w14:paraId="4F2C8601" w14:textId="52FAF682" w:rsidR="00D21C71" w:rsidRPr="00D21C71" w:rsidRDefault="00D21C71" w:rsidP="00D21C71">
            <w:pPr>
              <w:tabs>
                <w:tab w:val="left" w:pos="5835"/>
              </w:tabs>
            </w:pPr>
            <w:r w:rsidRPr="00D21C71">
              <w:t>Meeting Completion Rate and Minimum GPA/Percentage</w:t>
            </w:r>
          </w:p>
        </w:tc>
        <w:tc>
          <w:tcPr>
            <w:tcW w:w="0" w:type="auto"/>
            <w:shd w:val="clear" w:color="auto" w:fill="FFFFFF"/>
            <w:tcMar>
              <w:top w:w="120" w:type="dxa"/>
              <w:left w:w="120" w:type="dxa"/>
              <w:bottom w:w="120" w:type="dxa"/>
              <w:right w:w="120" w:type="dxa"/>
            </w:tcMar>
            <w:hideMark/>
          </w:tcPr>
          <w:p w14:paraId="7A1DC1D5" w14:textId="77777777" w:rsidR="00D21C71" w:rsidRPr="00D21C71" w:rsidRDefault="00D21C71" w:rsidP="00D21C71">
            <w:pPr>
              <w:tabs>
                <w:tab w:val="left" w:pos="5835"/>
              </w:tabs>
            </w:pPr>
            <w:r w:rsidRPr="00D21C71">
              <w:t>Eligible</w:t>
            </w:r>
          </w:p>
        </w:tc>
        <w:tc>
          <w:tcPr>
            <w:tcW w:w="2304" w:type="dxa"/>
            <w:shd w:val="clear" w:color="auto" w:fill="FFFFFF"/>
            <w:tcMar>
              <w:top w:w="120" w:type="dxa"/>
              <w:left w:w="120" w:type="dxa"/>
              <w:bottom w:w="120" w:type="dxa"/>
              <w:right w:w="120" w:type="dxa"/>
            </w:tcMar>
            <w:hideMark/>
          </w:tcPr>
          <w:p w14:paraId="62A1F0AD" w14:textId="77777777" w:rsidR="00D21C71" w:rsidRPr="00D21C71" w:rsidRDefault="00D21C71" w:rsidP="00D21C71">
            <w:pPr>
              <w:tabs>
                <w:tab w:val="left" w:pos="5835"/>
              </w:tabs>
            </w:pPr>
            <w:r w:rsidRPr="00D21C71">
              <w:t>Eligible</w:t>
            </w:r>
          </w:p>
        </w:tc>
      </w:tr>
      <w:tr w:rsidR="006B0AB7" w:rsidRPr="00D21C71" w14:paraId="7B10C792" w14:textId="77777777" w:rsidTr="00946103">
        <w:tc>
          <w:tcPr>
            <w:tcW w:w="4608" w:type="dxa"/>
            <w:shd w:val="clear" w:color="auto" w:fill="F9F9F9"/>
            <w:tcMar>
              <w:top w:w="120" w:type="dxa"/>
              <w:left w:w="120" w:type="dxa"/>
              <w:bottom w:w="120" w:type="dxa"/>
              <w:right w:w="120" w:type="dxa"/>
            </w:tcMar>
            <w:hideMark/>
          </w:tcPr>
          <w:p w14:paraId="4DD057BD" w14:textId="77777777" w:rsidR="00D21C71" w:rsidRPr="00D21C71" w:rsidRDefault="00D21C71" w:rsidP="00D21C71">
            <w:pPr>
              <w:tabs>
                <w:tab w:val="left" w:pos="5835"/>
              </w:tabs>
            </w:pPr>
            <w:r w:rsidRPr="00D21C71">
              <w:t>1st Failure</w:t>
            </w:r>
          </w:p>
        </w:tc>
        <w:tc>
          <w:tcPr>
            <w:tcW w:w="0" w:type="auto"/>
            <w:shd w:val="clear" w:color="auto" w:fill="F9F9F9"/>
            <w:tcMar>
              <w:top w:w="120" w:type="dxa"/>
              <w:left w:w="120" w:type="dxa"/>
              <w:bottom w:w="120" w:type="dxa"/>
              <w:right w:w="120" w:type="dxa"/>
            </w:tcMar>
            <w:hideMark/>
          </w:tcPr>
          <w:p w14:paraId="4CC2DDFA" w14:textId="77777777" w:rsidR="00D21C71" w:rsidRPr="00D21C71" w:rsidRDefault="00D21C71" w:rsidP="00D21C71">
            <w:pPr>
              <w:tabs>
                <w:tab w:val="left" w:pos="5835"/>
              </w:tabs>
            </w:pPr>
            <w:r w:rsidRPr="00D21C71">
              <w:t>Warning</w:t>
            </w:r>
          </w:p>
        </w:tc>
        <w:tc>
          <w:tcPr>
            <w:tcW w:w="2304" w:type="dxa"/>
            <w:shd w:val="clear" w:color="auto" w:fill="F9F9F9"/>
            <w:tcMar>
              <w:top w:w="120" w:type="dxa"/>
              <w:left w:w="120" w:type="dxa"/>
              <w:bottom w:w="120" w:type="dxa"/>
              <w:right w:w="120" w:type="dxa"/>
            </w:tcMar>
            <w:hideMark/>
          </w:tcPr>
          <w:p w14:paraId="6ACAA45F" w14:textId="77777777" w:rsidR="00D21C71" w:rsidRPr="00D21C71" w:rsidRDefault="00D21C71" w:rsidP="00D21C71">
            <w:pPr>
              <w:tabs>
                <w:tab w:val="left" w:pos="5835"/>
              </w:tabs>
            </w:pPr>
            <w:r w:rsidRPr="00D21C71">
              <w:t>Provisional Eligibility</w:t>
            </w:r>
          </w:p>
        </w:tc>
      </w:tr>
      <w:tr w:rsidR="006B0AB7" w:rsidRPr="00D21C71" w14:paraId="40546C2D" w14:textId="77777777" w:rsidTr="00946103">
        <w:tc>
          <w:tcPr>
            <w:tcW w:w="4608" w:type="dxa"/>
            <w:shd w:val="clear" w:color="auto" w:fill="FFFFFF"/>
            <w:tcMar>
              <w:top w:w="120" w:type="dxa"/>
              <w:left w:w="120" w:type="dxa"/>
              <w:bottom w:w="120" w:type="dxa"/>
              <w:right w:w="120" w:type="dxa"/>
            </w:tcMar>
            <w:hideMark/>
          </w:tcPr>
          <w:p w14:paraId="4DC51E01" w14:textId="77777777" w:rsidR="00D21C71" w:rsidRPr="00D21C71" w:rsidRDefault="00D21C71" w:rsidP="00D21C71">
            <w:pPr>
              <w:tabs>
                <w:tab w:val="left" w:pos="5835"/>
              </w:tabs>
            </w:pPr>
            <w:r w:rsidRPr="00D21C71">
              <w:t>2nd Consecutive Failure</w:t>
            </w:r>
          </w:p>
        </w:tc>
        <w:tc>
          <w:tcPr>
            <w:tcW w:w="0" w:type="auto"/>
            <w:shd w:val="clear" w:color="auto" w:fill="FFFFFF"/>
            <w:tcMar>
              <w:top w:w="120" w:type="dxa"/>
              <w:left w:w="120" w:type="dxa"/>
              <w:bottom w:w="120" w:type="dxa"/>
              <w:right w:w="120" w:type="dxa"/>
            </w:tcMar>
            <w:hideMark/>
          </w:tcPr>
          <w:p w14:paraId="1E1CF0D8" w14:textId="77777777" w:rsidR="00D21C71" w:rsidRPr="00D21C71" w:rsidRDefault="00D21C71" w:rsidP="00D21C71">
            <w:pPr>
              <w:tabs>
                <w:tab w:val="left" w:pos="5835"/>
              </w:tabs>
            </w:pPr>
            <w:r w:rsidRPr="00D21C71">
              <w:t>Denied</w:t>
            </w:r>
          </w:p>
        </w:tc>
        <w:tc>
          <w:tcPr>
            <w:tcW w:w="2304" w:type="dxa"/>
            <w:shd w:val="clear" w:color="auto" w:fill="FFFFFF"/>
            <w:tcMar>
              <w:top w:w="120" w:type="dxa"/>
              <w:left w:w="120" w:type="dxa"/>
              <w:bottom w:w="120" w:type="dxa"/>
              <w:right w:w="120" w:type="dxa"/>
            </w:tcMar>
            <w:hideMark/>
          </w:tcPr>
          <w:p w14:paraId="57505832" w14:textId="77777777" w:rsidR="00D21C71" w:rsidRPr="00D21C71" w:rsidRDefault="00D21C71" w:rsidP="00D21C71">
            <w:pPr>
              <w:tabs>
                <w:tab w:val="left" w:pos="5835"/>
              </w:tabs>
            </w:pPr>
            <w:r w:rsidRPr="00D21C71">
              <w:t>Not Eligible</w:t>
            </w:r>
          </w:p>
        </w:tc>
      </w:tr>
    </w:tbl>
    <w:p w14:paraId="785FA736" w14:textId="77777777" w:rsidR="00946103" w:rsidRDefault="00946103" w:rsidP="00D21C71">
      <w:pPr>
        <w:tabs>
          <w:tab w:val="left" w:pos="5835"/>
        </w:tabs>
        <w:rPr>
          <w:b/>
          <w:bCs/>
        </w:rPr>
      </w:pPr>
    </w:p>
    <w:p w14:paraId="01C6D76A" w14:textId="6709A72F" w:rsidR="00D21C71" w:rsidRPr="00D21C71" w:rsidRDefault="00D21C71" w:rsidP="00D21C71">
      <w:pPr>
        <w:tabs>
          <w:tab w:val="left" w:pos="5835"/>
        </w:tabs>
        <w:rPr>
          <w:b/>
          <w:bCs/>
        </w:rPr>
      </w:pPr>
      <w:r w:rsidRPr="00D21C71">
        <w:rPr>
          <w:b/>
          <w:bCs/>
        </w:rPr>
        <w:t>Warning</w:t>
      </w:r>
    </w:p>
    <w:p w14:paraId="5AA9BB06" w14:textId="77777777" w:rsidR="00946103" w:rsidRDefault="00946103" w:rsidP="00946103">
      <w:pPr>
        <w:tabs>
          <w:tab w:val="left" w:pos="5835"/>
        </w:tabs>
      </w:pPr>
      <w:r>
        <w:t>Academic Warning is assigned to a student who fails to meet SAP standards at the end of an evaluation period. A student placed on Academic Warning may continue enrollment for one additional evaluation period. To clear the Warning status, the student must meet the required cumulative GPA and quantitative completion standards by the end of the warning period.</w:t>
      </w:r>
    </w:p>
    <w:p w14:paraId="3C78AC8C" w14:textId="77777777" w:rsidR="00946103" w:rsidRDefault="00946103" w:rsidP="00946103">
      <w:pPr>
        <w:tabs>
          <w:tab w:val="left" w:pos="5835"/>
        </w:tabs>
      </w:pPr>
    </w:p>
    <w:p w14:paraId="7C8048C1" w14:textId="77777777" w:rsidR="00946103" w:rsidRDefault="00946103" w:rsidP="00946103">
      <w:pPr>
        <w:tabs>
          <w:tab w:val="left" w:pos="5835"/>
        </w:tabs>
      </w:pPr>
      <w:r>
        <w:t>If the student fails to meet the required standards by the conclusion of the warning period, the student may be placed on Academic Probation or dismissed in accordance with institutional policy.</w:t>
      </w:r>
    </w:p>
    <w:p w14:paraId="60740268" w14:textId="77777777" w:rsidR="00946103" w:rsidRDefault="00946103" w:rsidP="00946103">
      <w:pPr>
        <w:tabs>
          <w:tab w:val="left" w:pos="5835"/>
        </w:tabs>
      </w:pPr>
    </w:p>
    <w:p w14:paraId="4442A18C" w14:textId="5D8D3801" w:rsidR="00D21C71" w:rsidRPr="00D21C71" w:rsidRDefault="00946103" w:rsidP="00946103">
      <w:pPr>
        <w:tabs>
          <w:tab w:val="left" w:pos="5835"/>
        </w:tabs>
      </w:pPr>
      <w:r>
        <w:t>Students may regain good academic standing by meeting the required cumulative GPA and completion percentage at the end of a subsequent evaluation period. Withdrawal from the College does not reset or eliminate prior SAP standing upon re-entry; previous academic performance remains part of the SAP evaluation.</w:t>
      </w:r>
    </w:p>
    <w:p w14:paraId="4F3CF1AC" w14:textId="77777777" w:rsidR="00946103" w:rsidRDefault="00946103" w:rsidP="00D21C71">
      <w:pPr>
        <w:tabs>
          <w:tab w:val="left" w:pos="5835"/>
        </w:tabs>
        <w:rPr>
          <w:b/>
          <w:bCs/>
        </w:rPr>
      </w:pPr>
    </w:p>
    <w:p w14:paraId="4B3C5FDD" w14:textId="089ECD77" w:rsidR="00D21C71" w:rsidRPr="00D21C71" w:rsidRDefault="00D21C71" w:rsidP="00D21C71">
      <w:pPr>
        <w:tabs>
          <w:tab w:val="left" w:pos="5835"/>
        </w:tabs>
        <w:rPr>
          <w:b/>
          <w:bCs/>
        </w:rPr>
      </w:pPr>
      <w:r w:rsidRPr="00D21C71">
        <w:rPr>
          <w:b/>
          <w:bCs/>
        </w:rPr>
        <w:t>Appeal Procedures</w:t>
      </w:r>
    </w:p>
    <w:p w14:paraId="1AB2065E" w14:textId="77777777" w:rsidR="00946103" w:rsidRDefault="00946103" w:rsidP="00946103">
      <w:pPr>
        <w:tabs>
          <w:tab w:val="left" w:pos="5835"/>
        </w:tabs>
      </w:pPr>
      <w:r>
        <w:t>A student who does not meet SAP requirements may submit a written appeal if extenuating circumstances prevented them from satisfying the required qualitative (GPA) and/or quantitative (completion rate or maximum time frame) standards. Extenuating circumstances may include, but are not limited to, serious illness or injury of the student, the death of an immediate family member, or other significant events beyond the student’s control.</w:t>
      </w:r>
    </w:p>
    <w:p w14:paraId="3AAB10E0" w14:textId="77777777" w:rsidR="00946103" w:rsidRDefault="00946103" w:rsidP="00946103">
      <w:pPr>
        <w:tabs>
          <w:tab w:val="left" w:pos="5835"/>
        </w:tabs>
      </w:pPr>
    </w:p>
    <w:p w14:paraId="4FB33B37" w14:textId="1D6FC1BC" w:rsidR="00946103" w:rsidRDefault="00946103" w:rsidP="00946103">
      <w:pPr>
        <w:tabs>
          <w:tab w:val="left" w:pos="5835"/>
        </w:tabs>
      </w:pPr>
      <w:r>
        <w:t>Appeals are not automatic and are reviewed on a case-by-case basis. Students must submit a completed appeal form, a written explanation detailing the circumstances that affected their academic performance, supporting documentation, and a completed academic plan (if required) by the established deadline.</w:t>
      </w:r>
    </w:p>
    <w:p w14:paraId="63681DAA" w14:textId="77777777" w:rsidR="00946103" w:rsidRDefault="00946103" w:rsidP="00946103">
      <w:pPr>
        <w:tabs>
          <w:tab w:val="left" w:pos="5835"/>
        </w:tabs>
      </w:pPr>
    </w:p>
    <w:p w14:paraId="3891C856" w14:textId="77777777" w:rsidR="00946103" w:rsidRDefault="00946103" w:rsidP="00946103">
      <w:pPr>
        <w:tabs>
          <w:tab w:val="left" w:pos="5835"/>
        </w:tabs>
      </w:pPr>
    </w:p>
    <w:p w14:paraId="087EA957" w14:textId="77777777" w:rsidR="00946103" w:rsidRDefault="00946103" w:rsidP="00946103">
      <w:pPr>
        <w:tabs>
          <w:tab w:val="left" w:pos="5835"/>
        </w:tabs>
      </w:pPr>
    </w:p>
    <w:p w14:paraId="09CF1B64" w14:textId="77777777" w:rsidR="00946103" w:rsidRDefault="00946103" w:rsidP="00946103">
      <w:pPr>
        <w:tabs>
          <w:tab w:val="left" w:pos="5835"/>
        </w:tabs>
      </w:pPr>
    </w:p>
    <w:p w14:paraId="51DBDE32" w14:textId="77777777" w:rsidR="00946103" w:rsidRDefault="00946103" w:rsidP="00946103">
      <w:pPr>
        <w:tabs>
          <w:tab w:val="left" w:pos="5835"/>
        </w:tabs>
      </w:pPr>
    </w:p>
    <w:p w14:paraId="66367042" w14:textId="7AE7F60F" w:rsidR="00D21C71" w:rsidRDefault="00946103" w:rsidP="00946103">
      <w:pPr>
        <w:tabs>
          <w:tab w:val="left" w:pos="5835"/>
        </w:tabs>
      </w:pPr>
      <w:r>
        <w:t>If the appeal is approved, the student may be placed on Academic Probation and must comply with all conditions outlined in the approved academic plan. Failure to meet the terms of the probationary status may result in dismissal in accordance with institutional policy.</w:t>
      </w:r>
    </w:p>
    <w:p w14:paraId="2FD78BBF" w14:textId="77777777" w:rsidR="00946103" w:rsidRPr="00D21C71" w:rsidRDefault="00946103" w:rsidP="00946103">
      <w:pPr>
        <w:tabs>
          <w:tab w:val="left" w:pos="5835"/>
        </w:tabs>
      </w:pPr>
    </w:p>
    <w:p w14:paraId="517D7F0C" w14:textId="77777777" w:rsidR="00D21C71" w:rsidRPr="00D21C71" w:rsidRDefault="00D21C71" w:rsidP="00D21C71">
      <w:pPr>
        <w:tabs>
          <w:tab w:val="left" w:pos="5835"/>
        </w:tabs>
        <w:rPr>
          <w:b/>
          <w:bCs/>
        </w:rPr>
      </w:pPr>
      <w:r w:rsidRPr="00D21C71">
        <w:rPr>
          <w:b/>
          <w:bCs/>
        </w:rPr>
        <w:t>Suspension</w:t>
      </w:r>
    </w:p>
    <w:p w14:paraId="045FC421" w14:textId="05ED9D9B" w:rsidR="00946103" w:rsidRDefault="00946103" w:rsidP="00946103">
      <w:pPr>
        <w:tabs>
          <w:tab w:val="left" w:pos="5835"/>
        </w:tabs>
      </w:pPr>
      <w:r>
        <w:t>Academic Suspension is a status assigned to a student who fails to meet Satisfactory Academic Progress (SAP) standards after a period of Academic Warning, fails to meet SAP while on Academic Probation, or does not satisfy the conditions outlined in an approved Academic Plan (Reestablish status).</w:t>
      </w:r>
      <w:r>
        <w:t xml:space="preserve"> </w:t>
      </w:r>
      <w:r>
        <w:t>Students placed on Academic Suspension are not in good academic standing and may be subject to dismissal in accordance with institutional policy.</w:t>
      </w:r>
      <w:r>
        <w:t xml:space="preserve"> </w:t>
      </w:r>
      <w:r>
        <w:t>To clear a Suspension status, a student must either submit a successful appeal that is approved by the College or independently reestablish compliance with the minimum SAP standards by the end of the next evaluation period, as permitted by institutional policy.</w:t>
      </w:r>
    </w:p>
    <w:p w14:paraId="07C3F00B" w14:textId="77777777" w:rsidR="00946103" w:rsidRDefault="00946103" w:rsidP="00946103">
      <w:pPr>
        <w:tabs>
          <w:tab w:val="left" w:pos="5835"/>
        </w:tabs>
        <w:rPr>
          <w:b/>
          <w:bCs/>
        </w:rPr>
      </w:pPr>
    </w:p>
    <w:p w14:paraId="029535D4" w14:textId="7B18E03F" w:rsidR="00D21C71" w:rsidRPr="00D21C71" w:rsidRDefault="00D21C71" w:rsidP="00D21C71">
      <w:pPr>
        <w:tabs>
          <w:tab w:val="left" w:pos="5835"/>
        </w:tabs>
        <w:rPr>
          <w:b/>
          <w:bCs/>
        </w:rPr>
      </w:pPr>
      <w:r w:rsidRPr="00D21C71">
        <w:rPr>
          <w:b/>
          <w:bCs/>
        </w:rPr>
        <w:t>Probation</w:t>
      </w:r>
    </w:p>
    <w:p w14:paraId="313EB752" w14:textId="02DC9A56" w:rsidR="00D21C71" w:rsidRDefault="00D21C71" w:rsidP="00D21C71">
      <w:pPr>
        <w:tabs>
          <w:tab w:val="left" w:pos="5835"/>
        </w:tabs>
      </w:pPr>
      <w:r w:rsidRPr="00D21C71">
        <w:t>A student who fails to meet SAP and has an approved appeal will be provided with a one-term academic plan. At the end of one term on ‘Probation’, the student must meet the SAP standards’ terms and conditions.</w:t>
      </w:r>
    </w:p>
    <w:p w14:paraId="64197B87" w14:textId="77777777" w:rsidR="00946103" w:rsidRPr="00D21C71" w:rsidRDefault="00946103" w:rsidP="00D21C71">
      <w:pPr>
        <w:tabs>
          <w:tab w:val="left" w:pos="5835"/>
        </w:tabs>
      </w:pPr>
    </w:p>
    <w:p w14:paraId="4E0B8C33" w14:textId="77777777" w:rsidR="00D21C71" w:rsidRPr="00D21C71" w:rsidRDefault="00D21C71" w:rsidP="00D21C71">
      <w:pPr>
        <w:tabs>
          <w:tab w:val="left" w:pos="5835"/>
        </w:tabs>
        <w:rPr>
          <w:b/>
          <w:bCs/>
        </w:rPr>
      </w:pPr>
      <w:r w:rsidRPr="00D21C71">
        <w:rPr>
          <w:b/>
          <w:bCs/>
        </w:rPr>
        <w:t>Ineligible</w:t>
      </w:r>
    </w:p>
    <w:p w14:paraId="210490FA" w14:textId="5EFDA313" w:rsidR="00C3623C" w:rsidRPr="00E74AEB" w:rsidRDefault="00946103" w:rsidP="00E74AEB">
      <w:pPr>
        <w:tabs>
          <w:tab w:val="left" w:pos="5835"/>
        </w:tabs>
      </w:pPr>
      <w:r w:rsidRPr="00946103">
        <w:t>Ineligible Status is assigned to a student who fails to meet Satisfactory Academic Progress (SAP) standards and whose appeal has been denied. Students placed in Ineligible Status are not in good academic standing and may not continue enrollment in the subsequent term unless they independently reestablish compliance with the institution’s minimum SAP requirements, in accordance with College policy.</w:t>
      </w:r>
      <w:r w:rsidR="00E74AEB">
        <w:tab/>
      </w:r>
    </w:p>
    <w:sectPr w:rsidR="00C3623C" w:rsidRPr="00E74AEB" w:rsidSect="00E74AEB">
      <w:headerReference w:type="default" r:id="rId8"/>
      <w:footerReference w:type="default" r:id="rId9"/>
      <w:pgSz w:w="12240" w:h="15840" w:code="1"/>
      <w:pgMar w:top="1080" w:right="1440" w:bottom="153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022ED" w14:textId="77777777" w:rsidR="00F73886" w:rsidRDefault="00F73886">
      <w:r>
        <w:separator/>
      </w:r>
    </w:p>
  </w:endnote>
  <w:endnote w:type="continuationSeparator" w:id="0">
    <w:p w14:paraId="180A91A1" w14:textId="77777777" w:rsidR="00F73886" w:rsidRDefault="00F73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altName w:val="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64FD2" w14:textId="522B291E" w:rsidR="00622CF2" w:rsidRPr="00B35DDC" w:rsidRDefault="00C17CC4" w:rsidP="00E94A8B">
    <w:pPr>
      <w:pStyle w:val="Footer"/>
      <w:jc w:val="center"/>
      <w:rPr>
        <w:rFonts w:ascii="Book Antiqua" w:hAnsi="Book Antiqua" w:cs="Book Antiqua"/>
        <w:sz w:val="22"/>
        <w:szCs w:val="22"/>
      </w:rPr>
    </w:pPr>
    <w:r w:rsidRPr="00C17CC4">
      <w:rPr>
        <w:rFonts w:ascii="Book Antiqua" w:hAnsi="Book Antiqua" w:cs="Book Antiqua"/>
        <w:noProof/>
        <w:sz w:val="22"/>
        <w:szCs w:val="22"/>
      </w:rPr>
      <w:drawing>
        <wp:anchor distT="0" distB="0" distL="114300" distR="114300" simplePos="0" relativeHeight="251659264" behindDoc="1" locked="0" layoutInCell="1" allowOverlap="1" wp14:anchorId="3A601667" wp14:editId="59407A75">
          <wp:simplePos x="0" y="0"/>
          <wp:positionH relativeFrom="margin">
            <wp:align>right</wp:align>
          </wp:positionH>
          <wp:positionV relativeFrom="paragraph">
            <wp:posOffset>-533400</wp:posOffset>
          </wp:positionV>
          <wp:extent cx="5943600" cy="5149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43600" cy="51498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D15CC" w14:textId="77777777" w:rsidR="00F73886" w:rsidRDefault="00F73886">
      <w:r>
        <w:separator/>
      </w:r>
    </w:p>
  </w:footnote>
  <w:footnote w:type="continuationSeparator" w:id="0">
    <w:p w14:paraId="5F0B78DA" w14:textId="77777777" w:rsidR="00F73886" w:rsidRDefault="00F73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E8914" w14:textId="77777777" w:rsidR="00C3623C" w:rsidRDefault="00C3623C" w:rsidP="00C3623C">
    <w:pPr>
      <w:pStyle w:val="NormalWeb"/>
    </w:pPr>
    <w:r>
      <w:rPr>
        <w:noProof/>
      </w:rPr>
      <w:drawing>
        <wp:anchor distT="0" distB="0" distL="114300" distR="114300" simplePos="0" relativeHeight="251658240" behindDoc="1" locked="0" layoutInCell="1" allowOverlap="1" wp14:anchorId="7E0811E5" wp14:editId="36BC176C">
          <wp:simplePos x="0" y="0"/>
          <wp:positionH relativeFrom="column">
            <wp:posOffset>2209800</wp:posOffset>
          </wp:positionH>
          <wp:positionV relativeFrom="paragraph">
            <wp:posOffset>11430</wp:posOffset>
          </wp:positionV>
          <wp:extent cx="1238250" cy="12382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alvin.AN\Downloads\Southeast-College_Final (1).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38250" cy="1238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3623A3" w14:textId="735BDA74" w:rsidR="003460C2" w:rsidRDefault="003460C2" w:rsidP="003460C2">
    <w:pPr>
      <w:pStyle w:val="Header"/>
      <w:jc w:val="center"/>
    </w:pPr>
  </w:p>
  <w:p w14:paraId="4901EC72" w14:textId="77777777" w:rsidR="003460C2" w:rsidRPr="00D40CB0" w:rsidRDefault="003460C2" w:rsidP="003460C2">
    <w:pPr>
      <w:pStyle w:val="Header"/>
      <w:jc w:val="center"/>
      <w:rPr>
        <w:sz w:val="16"/>
        <w:szCs w:val="16"/>
      </w:rPr>
    </w:pPr>
  </w:p>
  <w:p w14:paraId="69D8AF26" w14:textId="19FF067E" w:rsidR="00D40CB0" w:rsidRDefault="00D40CB0" w:rsidP="003460C2">
    <w:pPr>
      <w:pStyle w:val="Header"/>
      <w:jc w:val="center"/>
      <w:rPr>
        <w:b/>
        <w:bCs/>
        <w:sz w:val="36"/>
        <w:szCs w:val="36"/>
      </w:rPr>
    </w:pPr>
  </w:p>
  <w:p w14:paraId="38C42790" w14:textId="77777777" w:rsidR="00D40CB0" w:rsidRPr="00D40CB0" w:rsidRDefault="00D40CB0" w:rsidP="003460C2">
    <w:pPr>
      <w:pStyle w:val="Heade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25078"/>
    <w:multiLevelType w:val="hybridMultilevel"/>
    <w:tmpl w:val="A5844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357"/>
    <w:rsid w:val="000175F9"/>
    <w:rsid w:val="00030ECB"/>
    <w:rsid w:val="00047651"/>
    <w:rsid w:val="00062873"/>
    <w:rsid w:val="00081027"/>
    <w:rsid w:val="00094F92"/>
    <w:rsid w:val="000A2022"/>
    <w:rsid w:val="000A2045"/>
    <w:rsid w:val="000B0445"/>
    <w:rsid w:val="000D0570"/>
    <w:rsid w:val="000F6707"/>
    <w:rsid w:val="00121BD4"/>
    <w:rsid w:val="00135B1E"/>
    <w:rsid w:val="00137172"/>
    <w:rsid w:val="0014559A"/>
    <w:rsid w:val="00146B23"/>
    <w:rsid w:val="00153879"/>
    <w:rsid w:val="00165FC4"/>
    <w:rsid w:val="00173C10"/>
    <w:rsid w:val="00192D9F"/>
    <w:rsid w:val="001D494A"/>
    <w:rsid w:val="001F0615"/>
    <w:rsid w:val="002216E0"/>
    <w:rsid w:val="00280B05"/>
    <w:rsid w:val="00293E66"/>
    <w:rsid w:val="00297E1B"/>
    <w:rsid w:val="002B5860"/>
    <w:rsid w:val="002B59B7"/>
    <w:rsid w:val="002E12E2"/>
    <w:rsid w:val="002E7077"/>
    <w:rsid w:val="00302EC8"/>
    <w:rsid w:val="00303167"/>
    <w:rsid w:val="00310E75"/>
    <w:rsid w:val="00344566"/>
    <w:rsid w:val="003460C2"/>
    <w:rsid w:val="003606A6"/>
    <w:rsid w:val="00366867"/>
    <w:rsid w:val="003829A8"/>
    <w:rsid w:val="00385BFD"/>
    <w:rsid w:val="003915F5"/>
    <w:rsid w:val="003A53BD"/>
    <w:rsid w:val="003D223E"/>
    <w:rsid w:val="003D37A2"/>
    <w:rsid w:val="00413156"/>
    <w:rsid w:val="00431315"/>
    <w:rsid w:val="00451365"/>
    <w:rsid w:val="00462A6C"/>
    <w:rsid w:val="004636FC"/>
    <w:rsid w:val="00477A29"/>
    <w:rsid w:val="00494F5B"/>
    <w:rsid w:val="00495D29"/>
    <w:rsid w:val="004A22B3"/>
    <w:rsid w:val="00511133"/>
    <w:rsid w:val="00516149"/>
    <w:rsid w:val="00525E7D"/>
    <w:rsid w:val="00535CAD"/>
    <w:rsid w:val="00540A36"/>
    <w:rsid w:val="005458D3"/>
    <w:rsid w:val="00546D0F"/>
    <w:rsid w:val="00572913"/>
    <w:rsid w:val="005731DE"/>
    <w:rsid w:val="0057774A"/>
    <w:rsid w:val="00580AC8"/>
    <w:rsid w:val="005C2B21"/>
    <w:rsid w:val="005E0344"/>
    <w:rsid w:val="005F7F1F"/>
    <w:rsid w:val="00622CF2"/>
    <w:rsid w:val="0062650D"/>
    <w:rsid w:val="006522CD"/>
    <w:rsid w:val="006549A3"/>
    <w:rsid w:val="006650C3"/>
    <w:rsid w:val="006931FB"/>
    <w:rsid w:val="00695C99"/>
    <w:rsid w:val="006B0AB7"/>
    <w:rsid w:val="006B25A3"/>
    <w:rsid w:val="006C0957"/>
    <w:rsid w:val="006C72C6"/>
    <w:rsid w:val="006E2F66"/>
    <w:rsid w:val="006F331E"/>
    <w:rsid w:val="00722568"/>
    <w:rsid w:val="007278F7"/>
    <w:rsid w:val="00756343"/>
    <w:rsid w:val="00767018"/>
    <w:rsid w:val="00781364"/>
    <w:rsid w:val="008058E5"/>
    <w:rsid w:val="00834357"/>
    <w:rsid w:val="0084500C"/>
    <w:rsid w:val="0084717D"/>
    <w:rsid w:val="00875716"/>
    <w:rsid w:val="008A03EF"/>
    <w:rsid w:val="008D30FA"/>
    <w:rsid w:val="008F0FD1"/>
    <w:rsid w:val="009158CC"/>
    <w:rsid w:val="009326D8"/>
    <w:rsid w:val="009427F1"/>
    <w:rsid w:val="00946103"/>
    <w:rsid w:val="00972EDF"/>
    <w:rsid w:val="00977EF1"/>
    <w:rsid w:val="009A74D1"/>
    <w:rsid w:val="009A7CB7"/>
    <w:rsid w:val="009C69B4"/>
    <w:rsid w:val="009D2BA8"/>
    <w:rsid w:val="009D78C8"/>
    <w:rsid w:val="00A06FDA"/>
    <w:rsid w:val="00A10A3A"/>
    <w:rsid w:val="00A315B8"/>
    <w:rsid w:val="00A43F99"/>
    <w:rsid w:val="00A56DBC"/>
    <w:rsid w:val="00A60669"/>
    <w:rsid w:val="00AC4D07"/>
    <w:rsid w:val="00AD7B8D"/>
    <w:rsid w:val="00AE65AC"/>
    <w:rsid w:val="00AF50C3"/>
    <w:rsid w:val="00B0438E"/>
    <w:rsid w:val="00B10C49"/>
    <w:rsid w:val="00B136B0"/>
    <w:rsid w:val="00B24FBB"/>
    <w:rsid w:val="00B35DDC"/>
    <w:rsid w:val="00B42360"/>
    <w:rsid w:val="00B61E6C"/>
    <w:rsid w:val="00B82287"/>
    <w:rsid w:val="00BB1080"/>
    <w:rsid w:val="00C00F9C"/>
    <w:rsid w:val="00C125CB"/>
    <w:rsid w:val="00C17CC4"/>
    <w:rsid w:val="00C21335"/>
    <w:rsid w:val="00C24DFA"/>
    <w:rsid w:val="00C3623C"/>
    <w:rsid w:val="00C423D3"/>
    <w:rsid w:val="00C54971"/>
    <w:rsid w:val="00C55101"/>
    <w:rsid w:val="00C70AE7"/>
    <w:rsid w:val="00CA1125"/>
    <w:rsid w:val="00CA4728"/>
    <w:rsid w:val="00CA57EA"/>
    <w:rsid w:val="00CB4936"/>
    <w:rsid w:val="00CC2837"/>
    <w:rsid w:val="00CD26BF"/>
    <w:rsid w:val="00CF05A2"/>
    <w:rsid w:val="00D21C71"/>
    <w:rsid w:val="00D40CB0"/>
    <w:rsid w:val="00D55224"/>
    <w:rsid w:val="00D57C32"/>
    <w:rsid w:val="00DD5C24"/>
    <w:rsid w:val="00DE3E89"/>
    <w:rsid w:val="00DF7E32"/>
    <w:rsid w:val="00E16FC6"/>
    <w:rsid w:val="00E21CF1"/>
    <w:rsid w:val="00E22A00"/>
    <w:rsid w:val="00E41268"/>
    <w:rsid w:val="00E74AEB"/>
    <w:rsid w:val="00E94A8B"/>
    <w:rsid w:val="00EA596A"/>
    <w:rsid w:val="00ED055D"/>
    <w:rsid w:val="00ED2556"/>
    <w:rsid w:val="00F17410"/>
    <w:rsid w:val="00F23E40"/>
    <w:rsid w:val="00F370AE"/>
    <w:rsid w:val="00F73886"/>
    <w:rsid w:val="00F853CB"/>
    <w:rsid w:val="00F93764"/>
    <w:rsid w:val="00FB5886"/>
    <w:rsid w:val="00FC7740"/>
    <w:rsid w:val="00FD2162"/>
    <w:rsid w:val="00FD3F68"/>
    <w:rsid w:val="00FF2058"/>
    <w:rsid w:val="00FF3D4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33D7DB"/>
  <w15:docId w15:val="{76340F68-7C9A-43F6-B348-E81A06AA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7077"/>
    <w:rPr>
      <w:sz w:val="24"/>
      <w:szCs w:val="24"/>
      <w:lang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343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35DDC"/>
    <w:pPr>
      <w:tabs>
        <w:tab w:val="center" w:pos="4320"/>
        <w:tab w:val="right" w:pos="8640"/>
      </w:tabs>
    </w:pPr>
  </w:style>
  <w:style w:type="character" w:customStyle="1" w:styleId="HeaderChar">
    <w:name w:val="Header Char"/>
    <w:basedOn w:val="DefaultParagraphFont"/>
    <w:link w:val="Header"/>
    <w:uiPriority w:val="99"/>
    <w:semiHidden/>
    <w:locked/>
    <w:rsid w:val="003A53BD"/>
    <w:rPr>
      <w:sz w:val="24"/>
      <w:szCs w:val="24"/>
      <w:lang w:eastAsia="ko-KR"/>
    </w:rPr>
  </w:style>
  <w:style w:type="paragraph" w:styleId="Footer">
    <w:name w:val="footer"/>
    <w:basedOn w:val="Normal"/>
    <w:link w:val="FooterChar"/>
    <w:uiPriority w:val="99"/>
    <w:rsid w:val="00B35DDC"/>
    <w:pPr>
      <w:tabs>
        <w:tab w:val="center" w:pos="4320"/>
        <w:tab w:val="right" w:pos="8640"/>
      </w:tabs>
    </w:pPr>
  </w:style>
  <w:style w:type="character" w:customStyle="1" w:styleId="FooterChar">
    <w:name w:val="Footer Char"/>
    <w:basedOn w:val="DefaultParagraphFont"/>
    <w:link w:val="Footer"/>
    <w:uiPriority w:val="99"/>
    <w:semiHidden/>
    <w:locked/>
    <w:rsid w:val="003A53BD"/>
    <w:rPr>
      <w:sz w:val="24"/>
      <w:szCs w:val="24"/>
      <w:lang w:eastAsia="ko-KR"/>
    </w:rPr>
  </w:style>
  <w:style w:type="paragraph" w:styleId="BalloonText">
    <w:name w:val="Balloon Text"/>
    <w:basedOn w:val="Normal"/>
    <w:link w:val="BalloonTextChar"/>
    <w:uiPriority w:val="99"/>
    <w:semiHidden/>
    <w:unhideWhenUsed/>
    <w:rsid w:val="003460C2"/>
    <w:rPr>
      <w:rFonts w:ascii="Tahoma" w:hAnsi="Tahoma" w:cs="Tahoma"/>
      <w:sz w:val="16"/>
      <w:szCs w:val="16"/>
    </w:rPr>
  </w:style>
  <w:style w:type="character" w:customStyle="1" w:styleId="BalloonTextChar">
    <w:name w:val="Balloon Text Char"/>
    <w:basedOn w:val="DefaultParagraphFont"/>
    <w:link w:val="BalloonText"/>
    <w:uiPriority w:val="99"/>
    <w:semiHidden/>
    <w:rsid w:val="003460C2"/>
    <w:rPr>
      <w:rFonts w:ascii="Tahoma" w:hAnsi="Tahoma" w:cs="Tahoma"/>
      <w:sz w:val="16"/>
      <w:szCs w:val="16"/>
      <w:lang w:eastAsia="ko-KR"/>
    </w:rPr>
  </w:style>
  <w:style w:type="paragraph" w:styleId="ListParagraph">
    <w:name w:val="List Paragraph"/>
    <w:basedOn w:val="Normal"/>
    <w:uiPriority w:val="34"/>
    <w:qFormat/>
    <w:rsid w:val="00CA4728"/>
    <w:pPr>
      <w:ind w:left="720"/>
      <w:contextualSpacing/>
    </w:pPr>
  </w:style>
  <w:style w:type="paragraph" w:styleId="NormalWeb">
    <w:name w:val="Normal (Web)"/>
    <w:basedOn w:val="Normal"/>
    <w:uiPriority w:val="99"/>
    <w:semiHidden/>
    <w:unhideWhenUsed/>
    <w:rsid w:val="00C3623C"/>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49003">
      <w:bodyDiv w:val="1"/>
      <w:marLeft w:val="0"/>
      <w:marRight w:val="0"/>
      <w:marTop w:val="0"/>
      <w:marBottom w:val="0"/>
      <w:divBdr>
        <w:top w:val="none" w:sz="0" w:space="0" w:color="auto"/>
        <w:left w:val="none" w:sz="0" w:space="0" w:color="auto"/>
        <w:bottom w:val="none" w:sz="0" w:space="0" w:color="auto"/>
        <w:right w:val="none" w:sz="0" w:space="0" w:color="auto"/>
      </w:divBdr>
    </w:div>
    <w:div w:id="303047805">
      <w:bodyDiv w:val="1"/>
      <w:marLeft w:val="0"/>
      <w:marRight w:val="0"/>
      <w:marTop w:val="0"/>
      <w:marBottom w:val="0"/>
      <w:divBdr>
        <w:top w:val="none" w:sz="0" w:space="0" w:color="auto"/>
        <w:left w:val="none" w:sz="0" w:space="0" w:color="auto"/>
        <w:bottom w:val="none" w:sz="0" w:space="0" w:color="auto"/>
        <w:right w:val="none" w:sz="0" w:space="0" w:color="auto"/>
      </w:divBdr>
    </w:div>
    <w:div w:id="551188116">
      <w:bodyDiv w:val="1"/>
      <w:marLeft w:val="0"/>
      <w:marRight w:val="0"/>
      <w:marTop w:val="0"/>
      <w:marBottom w:val="0"/>
      <w:divBdr>
        <w:top w:val="none" w:sz="0" w:space="0" w:color="auto"/>
        <w:left w:val="none" w:sz="0" w:space="0" w:color="auto"/>
        <w:bottom w:val="none" w:sz="0" w:space="0" w:color="auto"/>
        <w:right w:val="none" w:sz="0" w:space="0" w:color="auto"/>
      </w:divBdr>
    </w:div>
    <w:div w:id="606936249">
      <w:bodyDiv w:val="1"/>
      <w:marLeft w:val="0"/>
      <w:marRight w:val="0"/>
      <w:marTop w:val="0"/>
      <w:marBottom w:val="0"/>
      <w:divBdr>
        <w:top w:val="none" w:sz="0" w:space="0" w:color="auto"/>
        <w:left w:val="none" w:sz="0" w:space="0" w:color="auto"/>
        <w:bottom w:val="none" w:sz="0" w:space="0" w:color="auto"/>
        <w:right w:val="none" w:sz="0" w:space="0" w:color="auto"/>
      </w:divBdr>
    </w:div>
    <w:div w:id="692001804">
      <w:bodyDiv w:val="1"/>
      <w:marLeft w:val="0"/>
      <w:marRight w:val="0"/>
      <w:marTop w:val="0"/>
      <w:marBottom w:val="0"/>
      <w:divBdr>
        <w:top w:val="none" w:sz="0" w:space="0" w:color="auto"/>
        <w:left w:val="none" w:sz="0" w:space="0" w:color="auto"/>
        <w:bottom w:val="none" w:sz="0" w:space="0" w:color="auto"/>
        <w:right w:val="none" w:sz="0" w:space="0" w:color="auto"/>
      </w:divBdr>
      <w:divsChild>
        <w:div w:id="51774529">
          <w:marLeft w:val="0"/>
          <w:marRight w:val="0"/>
          <w:marTop w:val="0"/>
          <w:marBottom w:val="480"/>
          <w:divBdr>
            <w:top w:val="none" w:sz="0" w:space="0" w:color="auto"/>
            <w:left w:val="none" w:sz="0" w:space="0" w:color="auto"/>
            <w:bottom w:val="none" w:sz="0" w:space="0" w:color="auto"/>
            <w:right w:val="none" w:sz="0" w:space="0" w:color="auto"/>
          </w:divBdr>
          <w:divsChild>
            <w:div w:id="839469228">
              <w:marLeft w:val="0"/>
              <w:marRight w:val="0"/>
              <w:marTop w:val="0"/>
              <w:marBottom w:val="0"/>
              <w:divBdr>
                <w:top w:val="none" w:sz="0" w:space="0" w:color="auto"/>
                <w:left w:val="none" w:sz="0" w:space="0" w:color="auto"/>
                <w:bottom w:val="none" w:sz="0" w:space="0" w:color="auto"/>
                <w:right w:val="none" w:sz="0" w:space="0" w:color="auto"/>
              </w:divBdr>
              <w:divsChild>
                <w:div w:id="452095896">
                  <w:marLeft w:val="0"/>
                  <w:marRight w:val="0"/>
                  <w:marTop w:val="0"/>
                  <w:marBottom w:val="0"/>
                  <w:divBdr>
                    <w:top w:val="none" w:sz="0" w:space="0" w:color="auto"/>
                    <w:left w:val="none" w:sz="0" w:space="0" w:color="auto"/>
                    <w:bottom w:val="none" w:sz="0" w:space="0" w:color="auto"/>
                    <w:right w:val="none" w:sz="0" w:space="0" w:color="auto"/>
                  </w:divBdr>
                  <w:divsChild>
                    <w:div w:id="185067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339012">
      <w:bodyDiv w:val="1"/>
      <w:marLeft w:val="0"/>
      <w:marRight w:val="0"/>
      <w:marTop w:val="0"/>
      <w:marBottom w:val="0"/>
      <w:divBdr>
        <w:top w:val="none" w:sz="0" w:space="0" w:color="auto"/>
        <w:left w:val="none" w:sz="0" w:space="0" w:color="auto"/>
        <w:bottom w:val="none" w:sz="0" w:space="0" w:color="auto"/>
        <w:right w:val="none" w:sz="0" w:space="0" w:color="auto"/>
      </w:divBdr>
    </w:div>
    <w:div w:id="1065251706">
      <w:bodyDiv w:val="1"/>
      <w:marLeft w:val="0"/>
      <w:marRight w:val="0"/>
      <w:marTop w:val="0"/>
      <w:marBottom w:val="0"/>
      <w:divBdr>
        <w:top w:val="none" w:sz="0" w:space="0" w:color="auto"/>
        <w:left w:val="none" w:sz="0" w:space="0" w:color="auto"/>
        <w:bottom w:val="none" w:sz="0" w:space="0" w:color="auto"/>
        <w:right w:val="none" w:sz="0" w:space="0" w:color="auto"/>
      </w:divBdr>
    </w:div>
    <w:div w:id="1290817762">
      <w:bodyDiv w:val="1"/>
      <w:marLeft w:val="0"/>
      <w:marRight w:val="0"/>
      <w:marTop w:val="0"/>
      <w:marBottom w:val="0"/>
      <w:divBdr>
        <w:top w:val="none" w:sz="0" w:space="0" w:color="auto"/>
        <w:left w:val="none" w:sz="0" w:space="0" w:color="auto"/>
        <w:bottom w:val="none" w:sz="0" w:space="0" w:color="auto"/>
        <w:right w:val="none" w:sz="0" w:space="0" w:color="auto"/>
      </w:divBdr>
    </w:div>
    <w:div w:id="141979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353C0-C994-40D6-AE6E-6FBA56455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1183</Words>
  <Characters>6748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Kalvin</cp:lastModifiedBy>
  <cp:revision>2</cp:revision>
  <cp:lastPrinted>2026-02-18T00:25:00Z</cp:lastPrinted>
  <dcterms:created xsi:type="dcterms:W3CDTF">2026-02-18T01:13:00Z</dcterms:created>
  <dcterms:modified xsi:type="dcterms:W3CDTF">2026-02-18T01:13:00Z</dcterms:modified>
</cp:coreProperties>
</file>